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6F" w:rsidRPr="00621F6F" w:rsidRDefault="00621F6F" w:rsidP="00621F6F">
      <w:pPr>
        <w:shd w:val="clear" w:color="auto" w:fill="FAFAFA"/>
        <w:spacing w:before="200" w:after="200" w:line="240" w:lineRule="auto"/>
        <w:outlineLvl w:val="1"/>
        <w:rPr>
          <w:rFonts w:ascii="Circe-Light" w:eastAsia="Times New Roman" w:hAnsi="Circe-Light" w:cs="Times New Roman"/>
          <w:sz w:val="47"/>
          <w:szCs w:val="47"/>
          <w:lang w:eastAsia="ru-RU"/>
        </w:rPr>
      </w:pPr>
      <w:r w:rsidRPr="00621F6F">
        <w:rPr>
          <w:rFonts w:ascii="Circe-Light" w:eastAsia="Times New Roman" w:hAnsi="Circe-Light" w:cs="Times New Roman"/>
          <w:sz w:val="47"/>
          <w:szCs w:val="47"/>
          <w:lang w:eastAsia="ru-RU"/>
        </w:rPr>
        <w:fldChar w:fldCharType="begin"/>
      </w:r>
      <w:r w:rsidRPr="00621F6F">
        <w:rPr>
          <w:rFonts w:ascii="Circe-Light" w:eastAsia="Times New Roman" w:hAnsi="Circe-Light" w:cs="Times New Roman"/>
          <w:sz w:val="47"/>
          <w:szCs w:val="47"/>
          <w:lang w:eastAsia="ru-RU"/>
        </w:rPr>
        <w:instrText xml:space="preserve"> HYPERLINK "https://coko38.ru/index.php/qualitycontrol/gia-9-oge-gve-9/informatsiya-dlya-uchastnikov/chem-pol-zovat-sya-na-ekzamene" </w:instrText>
      </w:r>
      <w:r w:rsidRPr="00621F6F">
        <w:rPr>
          <w:rFonts w:ascii="Circe-Light" w:eastAsia="Times New Roman" w:hAnsi="Circe-Light" w:cs="Times New Roman"/>
          <w:sz w:val="47"/>
          <w:szCs w:val="47"/>
          <w:lang w:eastAsia="ru-RU"/>
        </w:rPr>
        <w:fldChar w:fldCharType="separate"/>
      </w:r>
      <w:r w:rsidRPr="00621F6F">
        <w:rPr>
          <w:rFonts w:ascii="Circe-Light" w:eastAsia="Times New Roman" w:hAnsi="Circe-Light" w:cs="Times New Roman"/>
          <w:sz w:val="47"/>
          <w:szCs w:val="47"/>
          <w:u w:val="single"/>
          <w:lang w:eastAsia="ru-RU"/>
        </w:rPr>
        <w:t>Чем можно пользоваться на экзамене?</w:t>
      </w:r>
      <w:r w:rsidRPr="00621F6F">
        <w:rPr>
          <w:rFonts w:ascii="Circe-Light" w:eastAsia="Times New Roman" w:hAnsi="Circe-Light" w:cs="Times New Roman"/>
          <w:sz w:val="47"/>
          <w:szCs w:val="47"/>
          <w:lang w:eastAsia="ru-RU"/>
        </w:rPr>
        <w:fldChar w:fldCharType="end"/>
      </w:r>
    </w:p>
    <w:p w:rsidR="00621F6F" w:rsidRPr="00621F6F" w:rsidRDefault="00621F6F" w:rsidP="00621F6F">
      <w:pPr>
        <w:shd w:val="clear" w:color="auto" w:fill="FAFAFA"/>
        <w:spacing w:after="0" w:line="360" w:lineRule="atLeast"/>
        <w:ind w:left="720"/>
        <w:rPr>
          <w:rFonts w:ascii="Circe-Regular" w:eastAsia="Times New Roman" w:hAnsi="Circe-Regular" w:cs="Times New Roman"/>
          <w:sz w:val="19"/>
          <w:szCs w:val="19"/>
          <w:lang w:eastAsia="ru-RU"/>
        </w:rPr>
      </w:pPr>
      <w:r>
        <w:rPr>
          <w:rFonts w:ascii="Circe-Regular" w:eastAsia="Times New Roman" w:hAnsi="Circe-Regular" w:cs="Times New Roman"/>
          <w:sz w:val="19"/>
          <w:szCs w:val="19"/>
          <w:lang w:eastAsia="ru-RU"/>
        </w:rPr>
        <w:t> </w:t>
      </w:r>
      <w:bookmarkStart w:id="0" w:name="_GoBack"/>
      <w:bookmarkEnd w:id="0"/>
    </w:p>
    <w:p w:rsidR="00621F6F" w:rsidRPr="00621F6F" w:rsidRDefault="00621F6F" w:rsidP="00621F6F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621F6F">
        <w:rPr>
          <w:rFonts w:ascii="Circe-Regular" w:eastAsia="Times New Roman" w:hAnsi="Circe-Regular" w:cs="Times New Roman"/>
          <w:sz w:val="24"/>
          <w:szCs w:val="24"/>
          <w:lang w:eastAsia="ru-RU"/>
        </w:rPr>
        <w:t>Перечень дополнительных материалов, которыми разрешается пользоваться во время экзаменов по каждому предмету ОГЭ/ГВЭ, ежегодно утверждается совместным приказом Министерства просвещения Российской Федерации и Федеральной службы по надзору в сфере образования и науки.</w:t>
      </w:r>
    </w:p>
    <w:p w:rsidR="00621F6F" w:rsidRPr="00621F6F" w:rsidRDefault="00621F6F" w:rsidP="00621F6F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621F6F">
        <w:rPr>
          <w:rFonts w:ascii="Circe-Regular" w:eastAsia="Times New Roman" w:hAnsi="Circe-Regular" w:cs="Times New Roman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</w:p>
    <w:p w:rsidR="00621F6F" w:rsidRPr="00621F6F" w:rsidRDefault="00621F6F" w:rsidP="00621F6F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621F6F">
        <w:rPr>
          <w:rFonts w:ascii="Circe-Regular" w:eastAsia="Times New Roman" w:hAnsi="Circe-Regular" w:cs="Times New Roman"/>
          <w:sz w:val="24"/>
          <w:szCs w:val="24"/>
          <w:lang w:eastAsia="ru-RU"/>
        </w:rPr>
        <w:t>Ниже дан полный перечень разрешенных дополнительных устройств и материалов, составленный на основе спецификаций по предметам.</w:t>
      </w:r>
    </w:p>
    <w:tbl>
      <w:tblPr>
        <w:tblW w:w="949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7682"/>
      </w:tblGrid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7637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использовать орфографические словари. Словари предоставляются участникам ОГЭ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математике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ОГЭ вместе с текстом его экзаменационной работы.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физике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химии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 Также к каждому варианту экзаменационной работы прилагаются следующие материалы:</w:t>
            </w:r>
          </w:p>
          <w:p w:rsidR="00621F6F" w:rsidRPr="00621F6F" w:rsidRDefault="00621F6F" w:rsidP="00621F6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система химических элементов Д.И. Менделеева;</w:t>
            </w:r>
          </w:p>
          <w:p w:rsidR="00621F6F" w:rsidRPr="00621F6F" w:rsidRDefault="00621F6F" w:rsidP="00621F6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растворимости солей, кислот и оснований в воде;</w:t>
            </w:r>
          </w:p>
          <w:p w:rsidR="00621F6F" w:rsidRPr="00621F6F" w:rsidRDefault="00621F6F" w:rsidP="00621F6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ОГЭ по биологии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географии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использование непрограммируемого калькулятора, линейки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литературе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использовать орфографические словари и полные тексты художественных произведений, а также сборники лирики Данные словари, тексты и сборники предоставляются участникам ОГЭ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по русскому языку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использовать орфографические и толковые словари. Словари предоставляются участникам ГВЭ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по математике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ГВЭ вместе с текстом его экзаменационной работы.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по физике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по химии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пользоваться непрограммируемым калькулятором. Непрограммируемый калькулятор должен обеспечивать арифметические вычисления (сложение, вычитание, умножение, </w:t>
            </w: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Также к каждому варианту экзаменационной работы прилагаются следующие материалы:</w:t>
            </w:r>
          </w:p>
          <w:p w:rsidR="00621F6F" w:rsidRPr="00621F6F" w:rsidRDefault="00621F6F" w:rsidP="00621F6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Менделеева;</w:t>
            </w:r>
          </w:p>
          <w:p w:rsidR="00621F6F" w:rsidRPr="00621F6F" w:rsidRDefault="00621F6F" w:rsidP="00621F6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растворимости солей, кислот и оснований в воде;</w:t>
            </w:r>
          </w:p>
          <w:p w:rsidR="00621F6F" w:rsidRPr="00621F6F" w:rsidRDefault="00621F6F" w:rsidP="00621F6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ГВЭ по географии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использование непрограммируемого калькулятора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621F6F" w:rsidRPr="00621F6F" w:rsidTr="00621F6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по литературе</w:t>
            </w:r>
          </w:p>
        </w:tc>
        <w:tc>
          <w:tcPr>
            <w:tcW w:w="76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1F6F" w:rsidRPr="00621F6F" w:rsidRDefault="00621F6F" w:rsidP="00621F6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использовать полные тексты художественных произведений, а также сборники лирики Данные тексты и сборники предоставляются участникам в пункте проведения экзамена.</w:t>
            </w:r>
          </w:p>
        </w:tc>
      </w:tr>
    </w:tbl>
    <w:p w:rsidR="001B3096" w:rsidRPr="00621F6F" w:rsidRDefault="001B3096"/>
    <w:sectPr w:rsidR="001B3096" w:rsidRPr="0062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549E"/>
    <w:multiLevelType w:val="multilevel"/>
    <w:tmpl w:val="05A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74BB4"/>
    <w:multiLevelType w:val="multilevel"/>
    <w:tmpl w:val="E02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9"/>
    <w:rsid w:val="001B3096"/>
    <w:rsid w:val="00621F6F"/>
    <w:rsid w:val="007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8BC"/>
  <w15:chartTrackingRefBased/>
  <w15:docId w15:val="{D1D1106B-B3FB-4AB5-BFC4-7FB0FE9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1F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2024-03-10T13:27:00Z</dcterms:created>
  <dcterms:modified xsi:type="dcterms:W3CDTF">2024-03-10T13:28:00Z</dcterms:modified>
</cp:coreProperties>
</file>